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8D3D4A" w:rsidRDefault="00AC51DA" w:rsidP="008D3D4A">
      <w:pPr>
        <w:pStyle w:val="Title"/>
      </w:pPr>
      <w:r w:rsidRPr="008D3D4A">
        <w:t xml:space="preserve">Inventory </w:t>
      </w:r>
      <w:r w:rsidR="00E972DC" w:rsidRPr="008D3D4A">
        <w:t>transfer</w:t>
      </w:r>
      <w:r w:rsidRPr="008D3D4A">
        <w:t>s</w:t>
      </w:r>
    </w:p>
    <w:p w:rsidR="00D67CB5" w:rsidRDefault="00D67CB5"/>
    <w:p w:rsidR="00D67CB5" w:rsidRDefault="008D3D4A">
      <w:r>
        <w:rPr>
          <w:noProof/>
          <w:lang w:bidi="ar-SA"/>
        </w:rPr>
        <w:pict>
          <v:shapetype id="_x0000_t202" coordsize="21600,21600" o:spt="202" path="m,l,21600r21600,l21600,xe">
            <v:stroke joinstyle="miter"/>
            <v:path gradientshapeok="t" o:connecttype="rect"/>
          </v:shapetype>
          <v:shape id="_x0000_s1030" type="#_x0000_t202" style="position:absolute;margin-left:315pt;margin-top:219.05pt;width:321.75pt;height:97.5pt;z-index:251662336;mso-width-relative:margin;mso-height-relative:margin" fillcolor="#fde9d9 [665]" strokecolor="#f79646 [3209]" strokeweight="2.5pt">
            <v:shadow color="#868686"/>
            <v:textbox>
              <w:txbxContent>
                <w:p w:rsidR="00025C69" w:rsidRPr="00D67CB5" w:rsidRDefault="00E32330" w:rsidP="00025C69">
                  <w:r>
                    <w:t xml:space="preserve">To create a transfer </w:t>
                  </w:r>
                  <w:r w:rsidR="00025C69">
                    <w:t xml:space="preserve">batch click the New button of the batch list screen. If the new </w:t>
                  </w:r>
                  <w:r>
                    <w:t>transfer</w:t>
                  </w:r>
                  <w:r w:rsidR="00025C69">
                    <w:t xml:space="preserve"> cannot be completed and posted in one session</w:t>
                  </w:r>
                  <w:r w:rsidR="002200D2">
                    <w:t>,</w:t>
                  </w:r>
                  <w:r w:rsidR="00025C69">
                    <w:t xml:space="preserve"> you can return to the batch later by s</w:t>
                  </w:r>
                  <w:r>
                    <w:t>electing it from this screen. A</w:t>
                  </w:r>
                  <w:r w:rsidR="00025C69">
                    <w:t xml:space="preserve"> t</w:t>
                  </w:r>
                  <w:r>
                    <w:t>ransfer</w:t>
                  </w:r>
                  <w:r w:rsidR="00025C69">
                    <w:t xml:space="preserve"> batch will remain in the list until it is posted</w:t>
                  </w:r>
                  <w:r w:rsidR="00F261EC">
                    <w:t xml:space="preserve"> or killed</w:t>
                  </w:r>
                  <w:r w:rsidR="00025C69">
                    <w:t>.</w:t>
                  </w:r>
                </w:p>
              </w:txbxContent>
            </v:textbox>
          </v:shape>
        </w:pict>
      </w:r>
      <w:r w:rsidRPr="009C1F85">
        <w:rPr>
          <w:noProof/>
          <w:sz w:val="24"/>
          <w:szCs w:val="24"/>
          <w:lang w:bidi="ar-SA"/>
        </w:rPr>
        <w:pict>
          <v:shape id="_x0000_s1027" type="#_x0000_t202" style="position:absolute;margin-left:315pt;margin-top:.6pt;width:291.45pt;height:200.45pt;z-index:251660288;mso-width-relative:margin;mso-height-relative:margin" fillcolor="#fde9d9 [665]" strokecolor="#f79646 [3209]" strokeweight="2.5pt">
            <v:shadow color="#868686"/>
            <v:textbox>
              <w:txbxContent>
                <w:p w:rsidR="00FE6817" w:rsidRDefault="00FE6817" w:rsidP="00FE6817">
                  <w:r>
                    <w:t xml:space="preserve">BCR inventory transfers can be created manually or they can be generated automatically based on inventory replenishment parameters using </w:t>
                  </w:r>
                  <w:r w:rsidR="00670369">
                    <w:t>the Inventory Requirements Report</w:t>
                  </w:r>
                  <w:r>
                    <w:t>. The setup required to auto-generate transfers is covered later in this document.</w:t>
                  </w:r>
                </w:p>
                <w:p w:rsidR="001E676D" w:rsidRPr="00D67CB5" w:rsidRDefault="001E676D" w:rsidP="001E676D">
                  <w:r>
                    <w:t>The</w:t>
                  </w:r>
                  <w:r w:rsidRPr="001E676D">
                    <w:t xml:space="preserve"> Enter/Edit </w:t>
                  </w:r>
                  <w:r w:rsidR="00C520F8">
                    <w:t>Transfer</w:t>
                  </w:r>
                  <w:r w:rsidRPr="001E676D">
                    <w:t>s screen</w:t>
                  </w:r>
                  <w:r w:rsidR="00D67CB5">
                    <w:t>, on the Inventory menu in Inventory / Purchasing</w:t>
                  </w:r>
                  <w:r w:rsidRPr="001E676D">
                    <w:t xml:space="preserve"> is used to </w:t>
                  </w:r>
                  <w:r w:rsidR="00C520F8">
                    <w:t>move inventory from one warehouse location to another</w:t>
                  </w:r>
                  <w:r w:rsidRPr="001E676D">
                    <w:t xml:space="preserve">. </w:t>
                  </w:r>
                  <w:r w:rsidR="00C520F8">
                    <w:t>Warehouses may be traditional physical warehouses located miles from each other or they could be virtual warehouses that exist only in the system memory</w:t>
                  </w:r>
                  <w:r w:rsidR="00D67CB5">
                    <w:t>.</w:t>
                  </w:r>
                </w:p>
              </w:txbxContent>
            </v:textbox>
          </v:shape>
        </w:pict>
      </w:r>
      <w:r w:rsidR="009C1F85">
        <w:rPr>
          <w:noProof/>
          <w:lang w:bidi="ar-SA"/>
        </w:rPr>
        <w:pict>
          <v:rect id="_x0000_s1028" style="position:absolute;margin-left:10.2pt;margin-top:86.1pt;width:103.55pt;height:18.75pt;z-index:251661312" filled="f" strokecolor="#f79646 [3209]" strokeweight="3pt"/>
        </w:pict>
      </w:r>
      <w:r w:rsidR="00E60058">
        <w:rPr>
          <w:noProof/>
          <w:lang w:bidi="ar-SA"/>
        </w:rPr>
        <w:drawing>
          <wp:inline distT="0" distB="0" distL="0" distR="0">
            <wp:extent cx="2286000" cy="26384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2286000" cy="2638425"/>
                    </a:xfrm>
                    <a:prstGeom prst="rect">
                      <a:avLst/>
                    </a:prstGeom>
                    <a:noFill/>
                    <a:ln w="9525">
                      <a:noFill/>
                      <a:miter lim="800000"/>
                      <a:headEnd/>
                      <a:tailEnd/>
                    </a:ln>
                  </pic:spPr>
                </pic:pic>
              </a:graphicData>
            </a:graphic>
          </wp:inline>
        </w:drawing>
      </w:r>
    </w:p>
    <w:p w:rsidR="00025C69" w:rsidRDefault="00025C69"/>
    <w:p w:rsidR="00F261EC" w:rsidRDefault="00F261EC"/>
    <w:p w:rsidR="00025C69" w:rsidRDefault="00FE6817">
      <w:r>
        <w:rPr>
          <w:noProof/>
          <w:lang w:bidi="ar-SA"/>
        </w:rPr>
        <w:drawing>
          <wp:inline distT="0" distB="0" distL="0" distR="0">
            <wp:extent cx="4534829" cy="9144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34829" cy="914400"/>
                    </a:xfrm>
                    <a:prstGeom prst="rect">
                      <a:avLst/>
                    </a:prstGeom>
                    <a:noFill/>
                    <a:ln w="9525">
                      <a:noFill/>
                      <a:miter lim="800000"/>
                      <a:headEnd/>
                      <a:tailEnd/>
                    </a:ln>
                  </pic:spPr>
                </pic:pic>
              </a:graphicData>
            </a:graphic>
          </wp:inline>
        </w:drawing>
      </w:r>
    </w:p>
    <w:p w:rsidR="00F261EC" w:rsidRDefault="00F261EC"/>
    <w:p w:rsidR="00F261EC" w:rsidRDefault="00F261EC"/>
    <w:p w:rsidR="00F261EC" w:rsidRDefault="00F261EC"/>
    <w:p w:rsidR="00F261EC" w:rsidRDefault="00F261EC"/>
    <w:p w:rsidR="00254A08" w:rsidRDefault="009C1F85">
      <w:r>
        <w:rPr>
          <w:noProof/>
          <w:lang w:bidi="ar-SA"/>
        </w:rPr>
        <w:pict>
          <v:shape id="_x0000_s1031" type="#_x0000_t202" style="position:absolute;margin-left:424.5pt;margin-top:3pt;width:197.25pt;height:132pt;z-index:251663360;mso-width-relative:margin;mso-height-relative:margin" fillcolor="#fde9d9 [665]" strokecolor="#f79646 [3209]" strokeweight="2.5pt">
            <v:shadow color="#868686"/>
            <v:textbox>
              <w:txbxContent>
                <w:p w:rsidR="00672A05" w:rsidRPr="00D67CB5" w:rsidRDefault="00672A05" w:rsidP="00F261EC">
                  <w:r>
                    <w:t xml:space="preserve">Enter an item number or use the Pick List (or double click in the field) to enter an item. Then enter the warehouse location </w:t>
                  </w:r>
                  <w:r w:rsidR="00572EF5">
                    <w:t xml:space="preserve">to transfer from and the location to transfer to </w:t>
                  </w:r>
                  <w:r>
                    <w:t xml:space="preserve">and adjust the date if needed. </w:t>
                  </w:r>
                  <w:r w:rsidR="007517DF">
                    <w:t xml:space="preserve"> </w:t>
                  </w:r>
                </w:p>
              </w:txbxContent>
            </v:textbox>
          </v:shape>
        </w:pict>
      </w:r>
      <w:r w:rsidR="00572EF5">
        <w:rPr>
          <w:noProof/>
          <w:lang w:bidi="ar-SA"/>
        </w:rPr>
        <w:drawing>
          <wp:inline distT="0" distB="0" distL="0" distR="0">
            <wp:extent cx="4780868" cy="2466975"/>
            <wp:effectExtent l="19050" t="0" r="682"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0868" cy="2466975"/>
                    </a:xfrm>
                    <a:prstGeom prst="rect">
                      <a:avLst/>
                    </a:prstGeom>
                    <a:noFill/>
                    <a:ln w="9525">
                      <a:noFill/>
                      <a:miter lim="800000"/>
                      <a:headEnd/>
                      <a:tailEnd/>
                    </a:ln>
                  </pic:spPr>
                </pic:pic>
              </a:graphicData>
            </a:graphic>
          </wp:inline>
        </w:drawing>
      </w:r>
    </w:p>
    <w:p w:rsidR="00892AFE" w:rsidRDefault="00892AFE"/>
    <w:p w:rsidR="00C85536" w:rsidRDefault="008D3D4A">
      <w:r>
        <w:rPr>
          <w:noProof/>
          <w:lang w:bidi="ar-SA"/>
        </w:rPr>
        <w:lastRenderedPageBreak/>
        <w:pict>
          <v:shape id="_x0000_s1036" type="#_x0000_t202" style="position:absolute;margin-left:380.25pt;margin-top:.6pt;width:231pt;height:197.4pt;z-index:251667456;mso-width-relative:margin;mso-height-relative:margin" fillcolor="#fde9d9 [665]" strokecolor="#f79646 [3209]" strokeweight="2.5pt">
            <v:shadow color="#868686"/>
            <v:textbox>
              <w:txbxContent>
                <w:p w:rsidR="00C85536" w:rsidRDefault="00C85536" w:rsidP="00C85536">
                  <w:r>
                    <w:t>The Unit Cost will automatically fill with a cost determined by settings in System Defaults</w:t>
                  </w:r>
                  <w:r w:rsidR="008F4A56">
                    <w:t xml:space="preserve"> on the IP &gt; Costing tab</w:t>
                  </w:r>
                  <w:r>
                    <w:t>.</w:t>
                  </w:r>
                  <w:r w:rsidR="008F4A56">
                    <w:t xml:space="preserve"> If Adjust/Transfers is set to Inventory then the setting for Inventory Costing will be used. I.E., if it is LIFO then the most recent receipt cost is used. If it is FIFO then the oldest receipt cost is used. If it is Averaging or Standard then the corresponding item cost is used. If Adjust/Transfers is set to PO Method, then the setting for PO Costing (Std, </w:t>
                  </w:r>
                  <w:proofErr w:type="spellStart"/>
                  <w:r w:rsidR="008F4A56">
                    <w:t>MR</w:t>
                  </w:r>
                  <w:proofErr w:type="spellEnd"/>
                  <w:r w:rsidR="008F4A56">
                    <w:t xml:space="preserve"> or </w:t>
                  </w:r>
                  <w:proofErr w:type="spellStart"/>
                  <w:r w:rsidR="008F4A56">
                    <w:t>AVG</w:t>
                  </w:r>
                  <w:proofErr w:type="spellEnd"/>
                  <w:r w:rsidR="00F8637F">
                    <w:t xml:space="preserve">) </w:t>
                  </w:r>
                  <w:r w:rsidR="002200D2">
                    <w:t>determines the</w:t>
                  </w:r>
                  <w:r w:rsidR="00F8637F">
                    <w:t xml:space="preserve"> item cost used.</w:t>
                  </w:r>
                  <w:r>
                    <w:t xml:space="preserve"> </w:t>
                  </w:r>
                </w:p>
                <w:p w:rsidR="00C85536" w:rsidRDefault="00C85536" w:rsidP="00C85536"/>
                <w:p w:rsidR="00C85536" w:rsidRDefault="00C85536" w:rsidP="00C85536"/>
              </w:txbxContent>
            </v:textbox>
          </v:shape>
        </w:pict>
      </w:r>
      <w:r w:rsidR="009C1F85">
        <w:rPr>
          <w:noProof/>
          <w:lang w:bidi="ar-SA"/>
        </w:rPr>
        <w:pict>
          <v:rect id="_x0000_s1041" style="position:absolute;margin-left:76.5pt;margin-top:159.9pt;width:77.25pt;height:57pt;z-index:251672576" filled="f" strokecolor="#f79646 [3209]" strokeweight="3pt"/>
        </w:pict>
      </w:r>
      <w:r w:rsidR="00572EF5">
        <w:rPr>
          <w:noProof/>
          <w:lang w:bidi="ar-SA"/>
        </w:rPr>
        <w:drawing>
          <wp:inline distT="0" distB="0" distL="0" distR="0">
            <wp:extent cx="2552700" cy="282892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52700" cy="2828925"/>
                    </a:xfrm>
                    <a:prstGeom prst="rect">
                      <a:avLst/>
                    </a:prstGeom>
                    <a:noFill/>
                    <a:ln w="9525">
                      <a:noFill/>
                      <a:miter lim="800000"/>
                      <a:headEnd/>
                      <a:tailEnd/>
                    </a:ln>
                  </pic:spPr>
                </pic:pic>
              </a:graphicData>
            </a:graphic>
          </wp:inline>
        </w:drawing>
      </w:r>
    </w:p>
    <w:p w:rsidR="00C85536" w:rsidRDefault="009C1F85">
      <w:r>
        <w:rPr>
          <w:noProof/>
          <w:lang w:bidi="ar-SA"/>
        </w:rPr>
        <w:pict>
          <v:shape id="_x0000_s1037" type="#_x0000_t202" style="position:absolute;margin-left:427.5pt;margin-top:22.55pt;width:189.75pt;height:94.45pt;z-index:251668480;mso-width-relative:margin;mso-height-relative:margin" fillcolor="#fde9d9 [665]" strokecolor="#f79646 [3209]" strokeweight="2.5pt">
            <v:shadow color="#868686"/>
            <v:textbox>
              <w:txbxContent>
                <w:p w:rsidR="00C85536" w:rsidRDefault="00C85536" w:rsidP="00C85536">
                  <w:r>
                    <w:t xml:space="preserve">You can also enter a unique cost by entering an amount in the Ext Cost field. The system will automatically calculate the new Unit Cost from the Quantity and the Ext Cost. </w:t>
                  </w:r>
                </w:p>
              </w:txbxContent>
            </v:textbox>
          </v:shape>
        </w:pict>
      </w:r>
    </w:p>
    <w:p w:rsidR="00C85536" w:rsidRDefault="009C1F85">
      <w:r>
        <w:rPr>
          <w:noProof/>
          <w:lang w:bidi="ar-SA"/>
        </w:rPr>
        <w:pict>
          <v:rect id="_x0000_s1044" style="position:absolute;margin-left:241.5pt;margin-top:63.7pt;width:84.75pt;height:25.5pt;z-index:251675648" filled="f" strokecolor="#f79646 [3209]" strokeweight="3pt"/>
        </w:pict>
      </w:r>
      <w:r w:rsidR="00572EF5" w:rsidRPr="00572EF5">
        <w:rPr>
          <w:noProof/>
          <w:lang w:bidi="ar-SA"/>
        </w:rPr>
        <w:drawing>
          <wp:inline distT="0" distB="0" distL="0" distR="0">
            <wp:extent cx="4780868" cy="2466975"/>
            <wp:effectExtent l="19050" t="0" r="682"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0868" cy="2466975"/>
                    </a:xfrm>
                    <a:prstGeom prst="rect">
                      <a:avLst/>
                    </a:prstGeom>
                    <a:noFill/>
                    <a:ln w="9525">
                      <a:noFill/>
                      <a:miter lim="800000"/>
                      <a:headEnd/>
                      <a:tailEnd/>
                    </a:ln>
                  </pic:spPr>
                </pic:pic>
              </a:graphicData>
            </a:graphic>
          </wp:inline>
        </w:drawing>
      </w:r>
    </w:p>
    <w:p w:rsidR="005F017A" w:rsidRDefault="005F017A"/>
    <w:p w:rsidR="00380771" w:rsidRDefault="00380771"/>
    <w:p w:rsidR="00380771" w:rsidRDefault="009C1F85">
      <w:r>
        <w:rPr>
          <w:noProof/>
          <w:lang w:bidi="ar-SA"/>
        </w:rPr>
        <w:pict>
          <v:shape id="_x0000_s1038" type="#_x0000_t202" style="position:absolute;margin-left:207.75pt;margin-top:-6pt;width:397.5pt;height:213.75pt;z-index:251669504;mso-width-relative:margin;mso-height-relative:margin" fillcolor="#fde9d9 [665]" strokecolor="#f79646 [3209]" strokeweight="2.5pt">
            <v:shadow color="#868686"/>
            <v:textbox>
              <w:txbxContent>
                <w:p w:rsidR="00060A8C" w:rsidRDefault="00060A8C" w:rsidP="00060A8C">
                  <w:r>
                    <w:t>A</w:t>
                  </w:r>
                  <w:r w:rsidR="000E7894">
                    <w:t xml:space="preserve"> </w:t>
                  </w:r>
                  <w:r>
                    <w:t>t</w:t>
                  </w:r>
                  <w:r w:rsidR="000E7894">
                    <w:t>ransfer</w:t>
                  </w:r>
                  <w:r>
                    <w:t xml:space="preserve"> can be saved by clicking close and then reopened as </w:t>
                  </w:r>
                  <w:r w:rsidR="000E7894">
                    <w:t>a batch later. If the transfer</w:t>
                  </w:r>
                  <w:r>
                    <w:t xml:space="preserve"> is not to be posted then it should be deleted by clicking Kill Batch (the Delete button only deletes the current line item.) </w:t>
                  </w:r>
                </w:p>
                <w:p w:rsidR="000E7894" w:rsidRDefault="000E7894" w:rsidP="00060A8C">
                  <w:r>
                    <w:t xml:space="preserve">The next step in the transfer process depends on your business operation. If the transfer requires a real physical process of picking goods, loading a truck, time in transit, and unloading and shelving those goods, then a two-step transfer process is probably warranted. </w:t>
                  </w:r>
                  <w:r w:rsidR="005A4F1B">
                    <w:t xml:space="preserve">The Auto-Transfer button will </w:t>
                  </w:r>
                  <w:r w:rsidR="00F61498">
                    <w:t>update the item quantity status for the two location. The Transfer Out and Transfer In quantities will be increased and the Available quantity of the transfer from location will be reduced.</w:t>
                  </w:r>
                </w:p>
                <w:p w:rsidR="00F61498" w:rsidRPr="00D67CB5" w:rsidRDefault="00F61498" w:rsidP="00060A8C">
                  <w:r>
                    <w:t>The Auto-Transfer can be performed at any point regardless of the GL Auto-Post setting.</w:t>
                  </w:r>
                </w:p>
              </w:txbxContent>
            </v:textbox>
          </v:shape>
        </w:pict>
      </w:r>
      <w:r>
        <w:rPr>
          <w:noProof/>
          <w:lang w:bidi="ar-SA"/>
        </w:rPr>
        <w:pict>
          <v:rect id="_x0000_s1046" style="position:absolute;margin-left:14.25pt;margin-top:177.75pt;width:69pt;height:30pt;z-index:251677696" filled="f" strokecolor="#f79646 [3209]" strokeweight="3pt"/>
        </w:pict>
      </w:r>
      <w:r w:rsidR="002808DC">
        <w:rPr>
          <w:noProof/>
          <w:lang w:bidi="ar-SA"/>
        </w:rPr>
        <w:drawing>
          <wp:inline distT="0" distB="0" distL="0" distR="0">
            <wp:extent cx="1266825" cy="2733675"/>
            <wp:effectExtent l="19050" t="0" r="952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66825" cy="2733675"/>
                    </a:xfrm>
                    <a:prstGeom prst="rect">
                      <a:avLst/>
                    </a:prstGeom>
                    <a:noFill/>
                    <a:ln w="9525">
                      <a:noFill/>
                      <a:miter lim="800000"/>
                      <a:headEnd/>
                      <a:tailEnd/>
                    </a:ln>
                  </pic:spPr>
                </pic:pic>
              </a:graphicData>
            </a:graphic>
          </wp:inline>
        </w:drawing>
      </w:r>
    </w:p>
    <w:p w:rsidR="00555AA5" w:rsidRDefault="00555AA5"/>
    <w:p w:rsidR="00555AA5" w:rsidRDefault="009C1F85">
      <w:r>
        <w:rPr>
          <w:noProof/>
          <w:lang w:bidi="ar-SA"/>
        </w:rPr>
        <w:pict>
          <v:rect id="_x0000_s1051" style="position:absolute;margin-left:201pt;margin-top:.9pt;width:70.5pt;height:54.75pt;z-index:251681792" filled="f" strokecolor="#f79646 [3209]" strokeweight="3pt"/>
        </w:pict>
      </w:r>
      <w:r>
        <w:rPr>
          <w:noProof/>
          <w:lang w:bidi="ar-SA"/>
        </w:rPr>
        <w:pict>
          <v:rect id="_x0000_s1050" style="position:absolute;margin-left:0;margin-top:.9pt;width:104.25pt;height:54.75pt;z-index:251680768" filled="f" strokecolor="#f79646 [3209]" strokeweight="3pt"/>
        </w:pict>
      </w:r>
      <w:r>
        <w:rPr>
          <w:noProof/>
          <w:lang w:bidi="ar-SA"/>
        </w:rPr>
        <w:pict>
          <v:rect id="_x0000_s1045" style="position:absolute;margin-left:428.7pt;margin-top:.9pt;width:123.3pt;height:54.75pt;z-index:251676672" filled="f" strokecolor="#f79646 [3209]" strokeweight="3pt"/>
        </w:pict>
      </w:r>
      <w:r w:rsidR="00555AA5">
        <w:rPr>
          <w:noProof/>
          <w:lang w:bidi="ar-SA"/>
        </w:rPr>
        <w:drawing>
          <wp:inline distT="0" distB="0" distL="0" distR="0">
            <wp:extent cx="7000875" cy="714375"/>
            <wp:effectExtent l="19050" t="0" r="952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7000875" cy="714375"/>
                    </a:xfrm>
                    <a:prstGeom prst="rect">
                      <a:avLst/>
                    </a:prstGeom>
                    <a:noFill/>
                    <a:ln w="9525">
                      <a:noFill/>
                      <a:miter lim="800000"/>
                      <a:headEnd/>
                      <a:tailEnd/>
                    </a:ln>
                  </pic:spPr>
                </pic:pic>
              </a:graphicData>
            </a:graphic>
          </wp:inline>
        </w:drawing>
      </w:r>
    </w:p>
    <w:p w:rsidR="00555AA5" w:rsidRDefault="00555AA5"/>
    <w:p w:rsidR="00060A8C" w:rsidRDefault="00060A8C"/>
    <w:p w:rsidR="00060A8C" w:rsidRDefault="009C1F85">
      <w:r>
        <w:rPr>
          <w:noProof/>
          <w:lang w:bidi="ar-SA"/>
        </w:rPr>
        <w:pict>
          <v:shape id="_x0000_s1035" type="#_x0000_t202" style="position:absolute;margin-left:377.25pt;margin-top:-1.5pt;width:228.75pt;height:159pt;z-index:251666432;mso-width-relative:margin;mso-height-relative:margin" fillcolor="#fde9d9 [665]" strokecolor="#f79646 [3209]" strokeweight="2.5pt">
            <v:shadow color="#868686"/>
            <v:textbox>
              <w:txbxContent>
                <w:p w:rsidR="00562C53" w:rsidRDefault="00562C53" w:rsidP="00562C53">
                  <w:r>
                    <w:t xml:space="preserve">If Auto-posting is not checked for </w:t>
                  </w:r>
                  <w:r w:rsidR="002808DC">
                    <w:t>Transfer</w:t>
                  </w:r>
                  <w:r>
                    <w:t xml:space="preserve">s in System Defaults on the GL tab, it will be necessary to at least View the </w:t>
                  </w:r>
                  <w:r w:rsidR="002808DC">
                    <w:t>Transfers</w:t>
                  </w:r>
                  <w:r>
                    <w:t xml:space="preserve"> Log by clicking the Print button before you wil</w:t>
                  </w:r>
                  <w:r w:rsidR="002808DC">
                    <w:t>l be able to Post the transfer</w:t>
                  </w:r>
                  <w:r>
                    <w:t>. If Auto-post is checked then the printing is optional.</w:t>
                  </w:r>
                </w:p>
                <w:p w:rsidR="00395C62" w:rsidRPr="00D67CB5" w:rsidRDefault="00395C62" w:rsidP="00562C53">
                  <w:r>
                    <w:t>The transfer log can be used as a transfer document for shipping and receiving.</w:t>
                  </w:r>
                </w:p>
              </w:txbxContent>
            </v:textbox>
          </v:shape>
        </w:pict>
      </w:r>
      <w:r w:rsidR="00395C62">
        <w:rPr>
          <w:noProof/>
          <w:lang w:bidi="ar-SA"/>
        </w:rPr>
        <w:drawing>
          <wp:inline distT="0" distB="0" distL="0" distR="0">
            <wp:extent cx="4276725" cy="1377159"/>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276725" cy="1377159"/>
                    </a:xfrm>
                    <a:prstGeom prst="rect">
                      <a:avLst/>
                    </a:prstGeom>
                    <a:noFill/>
                    <a:ln w="9525">
                      <a:noFill/>
                      <a:miter lim="800000"/>
                      <a:headEnd/>
                      <a:tailEnd/>
                    </a:ln>
                  </pic:spPr>
                </pic:pic>
              </a:graphicData>
            </a:graphic>
          </wp:inline>
        </w:drawing>
      </w:r>
    </w:p>
    <w:p w:rsidR="00060A8C" w:rsidRDefault="00060A8C"/>
    <w:p w:rsidR="00BF60BB" w:rsidRDefault="009C1F85">
      <w:r>
        <w:rPr>
          <w:noProof/>
          <w:lang w:bidi="ar-SA"/>
        </w:rPr>
        <w:pict>
          <v:shape id="_x0000_s1039" type="#_x0000_t202" style="position:absolute;margin-left:180.75pt;margin-top:30.45pt;width:398.25pt;height:69pt;z-index:251670528;mso-width-relative:margin;mso-height-relative:margin" fillcolor="#fde9d9 [665]" strokecolor="#f79646 [3209]" strokeweight="2.5pt">
            <v:shadow color="#868686"/>
            <v:textbox>
              <w:txbxContent>
                <w:p w:rsidR="005B60B8" w:rsidRPr="00D67CB5" w:rsidRDefault="00395C62" w:rsidP="005B60B8">
                  <w:r>
                    <w:t xml:space="preserve">In order for a transfer to be received in the “To” location it must finally be posted. This will clear quantities from transfer out and transfer in and update the on hands of both locations and increase the available of the receiving location. </w:t>
                  </w:r>
                </w:p>
              </w:txbxContent>
            </v:textbox>
          </v:shape>
        </w:pict>
      </w:r>
      <w:r>
        <w:rPr>
          <w:noProof/>
          <w:lang w:bidi="ar-SA"/>
        </w:rPr>
        <w:pict>
          <v:rect id="_x0000_s1047" style="position:absolute;margin-left:12.75pt;margin-top:125.25pt;width:76.5pt;height:26.35pt;z-index:251678720" filled="f" strokecolor="#f79646 [3209]" strokeweight="3pt"/>
        </w:pict>
      </w:r>
      <w:r w:rsidR="00395C62" w:rsidRPr="00395C62">
        <w:rPr>
          <w:noProof/>
          <w:lang w:bidi="ar-SA"/>
        </w:rPr>
        <w:drawing>
          <wp:inline distT="0" distB="0" distL="0" distR="0">
            <wp:extent cx="1266825" cy="273367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66825" cy="2733675"/>
                    </a:xfrm>
                    <a:prstGeom prst="rect">
                      <a:avLst/>
                    </a:prstGeom>
                    <a:noFill/>
                    <a:ln w="9525">
                      <a:noFill/>
                      <a:miter lim="800000"/>
                      <a:headEnd/>
                      <a:tailEnd/>
                    </a:ln>
                  </pic:spPr>
                </pic:pic>
              </a:graphicData>
            </a:graphic>
          </wp:inline>
        </w:drawing>
      </w:r>
      <w:r w:rsidR="002020F1">
        <w:t xml:space="preserve">                                                                       </w:t>
      </w:r>
      <w:r w:rsidR="002020F1">
        <w:rPr>
          <w:noProof/>
          <w:lang w:bidi="ar-SA"/>
        </w:rPr>
        <w:drawing>
          <wp:inline distT="0" distB="0" distL="0" distR="0">
            <wp:extent cx="2990850" cy="1381125"/>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990850" cy="1381125"/>
                    </a:xfrm>
                    <a:prstGeom prst="rect">
                      <a:avLst/>
                    </a:prstGeom>
                    <a:noFill/>
                    <a:ln w="9525">
                      <a:noFill/>
                      <a:miter lim="800000"/>
                      <a:headEnd/>
                      <a:tailEnd/>
                    </a:ln>
                  </pic:spPr>
                </pic:pic>
              </a:graphicData>
            </a:graphic>
          </wp:inline>
        </w:drawing>
      </w:r>
    </w:p>
    <w:p w:rsidR="00555AA5" w:rsidRDefault="00555AA5"/>
    <w:p w:rsidR="00555AA5" w:rsidRDefault="00555AA5"/>
    <w:p w:rsidR="0059061C" w:rsidRDefault="0059061C"/>
    <w:p w:rsidR="002020F1" w:rsidRDefault="002020F1"/>
    <w:p w:rsidR="002020F1" w:rsidRDefault="002020F1"/>
    <w:p w:rsidR="002020F1" w:rsidRDefault="009C1F85">
      <w:r>
        <w:rPr>
          <w:noProof/>
          <w:lang w:bidi="ar-SA"/>
        </w:rPr>
        <w:pict>
          <v:shape id="_x0000_s1049" type="#_x0000_t202" style="position:absolute;margin-left:423pt;margin-top:18.7pt;width:197.25pt;height:117.75pt;z-index:251679744;mso-width-relative:margin;mso-height-relative:margin" fillcolor="#fde9d9 [665]" strokecolor="#f79646 [3209]" strokeweight="2.5pt">
            <v:shadow color="#868686"/>
            <v:textbox>
              <w:txbxContent>
                <w:p w:rsidR="00555AA5" w:rsidRPr="00D67CB5" w:rsidRDefault="00555AA5" w:rsidP="00555AA5">
                  <w:r>
                    <w:t>Posted transfers can be viewed in various places in the system including the Status tab of the Enter/Edit Item screen. The transfer is signified by a “T” and the batch number is listed as the GL Batch.</w:t>
                  </w:r>
                </w:p>
              </w:txbxContent>
            </v:textbox>
          </v:shape>
        </w:pict>
      </w:r>
    </w:p>
    <w:p w:rsidR="002020F1" w:rsidRDefault="002020F1">
      <w:r>
        <w:rPr>
          <w:noProof/>
          <w:lang w:bidi="ar-SA"/>
        </w:rPr>
        <w:drawing>
          <wp:inline distT="0" distB="0" distL="0" distR="0">
            <wp:extent cx="4886325" cy="572456"/>
            <wp:effectExtent l="19050" t="0" r="9525"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886325" cy="572456"/>
                    </a:xfrm>
                    <a:prstGeom prst="rect">
                      <a:avLst/>
                    </a:prstGeom>
                    <a:noFill/>
                    <a:ln w="9525">
                      <a:noFill/>
                      <a:miter lim="800000"/>
                      <a:headEnd/>
                      <a:tailEnd/>
                    </a:ln>
                  </pic:spPr>
                </pic:pic>
              </a:graphicData>
            </a:graphic>
          </wp:inline>
        </w:drawing>
      </w:r>
    </w:p>
    <w:p w:rsidR="002020F1" w:rsidRDefault="002020F1"/>
    <w:p w:rsidR="002020F1" w:rsidRDefault="002020F1"/>
    <w:p w:rsidR="002020F1" w:rsidRDefault="002020F1"/>
    <w:p w:rsidR="002020F1" w:rsidRDefault="009C1F85">
      <w:r>
        <w:rPr>
          <w:noProof/>
          <w:lang w:bidi="ar-SA"/>
        </w:rPr>
        <w:pict>
          <v:shape id="_x0000_s1052" type="#_x0000_t202" style="position:absolute;margin-left:283.5pt;margin-top:61.4pt;width:340.5pt;height:85.5pt;z-index:251682816;mso-width-relative:margin;mso-height-relative:margin" fillcolor="#fde9d9 [665]" strokecolor="#f79646 [3209]" strokeweight="2.5pt">
            <v:shadow color="#868686"/>
            <v:textbox>
              <w:txbxContent>
                <w:p w:rsidR="002020F1" w:rsidRPr="00D67CB5" w:rsidRDefault="002020F1" w:rsidP="002020F1">
                  <w:r>
                    <w:t>As noted at the beginning of this document, transfers can be created automatically using the Inventory Requirements Report o</w:t>
                  </w:r>
                  <w:r w:rsidR="00BB3091">
                    <w:t>n the Reports menu of Inventory</w:t>
                  </w:r>
                  <w:r>
                    <w:t>/Purchasing.</w:t>
                  </w:r>
                  <w:r w:rsidR="007D07A0">
                    <w:t xml:space="preserve"> This functionality assumes that you are using min/max item level parameters and replenishment locations.</w:t>
                  </w:r>
                </w:p>
              </w:txbxContent>
            </v:textbox>
          </v:shape>
        </w:pict>
      </w:r>
      <w:r>
        <w:rPr>
          <w:noProof/>
          <w:lang w:bidi="ar-SA"/>
        </w:rPr>
        <w:pict>
          <v:rect id="_x0000_s1053" style="position:absolute;margin-left:20.25pt;margin-top:104.45pt;width:138pt;height:26.35pt;z-index:251683840" filled="f" strokecolor="#f79646 [3209]" strokeweight="3pt"/>
        </w:pict>
      </w:r>
      <w:r w:rsidR="002020F1">
        <w:rPr>
          <w:noProof/>
          <w:lang w:bidi="ar-SA"/>
        </w:rPr>
        <w:drawing>
          <wp:inline distT="0" distB="0" distL="0" distR="0">
            <wp:extent cx="2314575" cy="27146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314575" cy="2714625"/>
                    </a:xfrm>
                    <a:prstGeom prst="rect">
                      <a:avLst/>
                    </a:prstGeom>
                    <a:noFill/>
                    <a:ln w="9525">
                      <a:noFill/>
                      <a:miter lim="800000"/>
                      <a:headEnd/>
                      <a:tailEnd/>
                    </a:ln>
                  </pic:spPr>
                </pic:pic>
              </a:graphicData>
            </a:graphic>
          </wp:inline>
        </w:drawing>
      </w:r>
    </w:p>
    <w:p w:rsidR="007D07A0" w:rsidRDefault="007D07A0"/>
    <w:p w:rsidR="007D07A0" w:rsidRDefault="007D07A0"/>
    <w:p w:rsidR="007D07A0" w:rsidRDefault="007D07A0"/>
    <w:p w:rsidR="00A3783B" w:rsidRDefault="009C1F85">
      <w:r>
        <w:rPr>
          <w:noProof/>
          <w:lang w:bidi="ar-SA"/>
        </w:rPr>
        <w:pict>
          <v:shape id="_x0000_s1054" type="#_x0000_t202" style="position:absolute;margin-left:284.25pt;margin-top:18.75pt;width:340.5pt;height:89.25pt;z-index:251684864;mso-width-relative:margin;mso-height-relative:margin" fillcolor="#fde9d9 [665]" strokecolor="#f79646 [3209]" strokeweight="2.5pt">
            <v:shadow color="#868686"/>
            <v:textbox>
              <w:txbxContent>
                <w:p w:rsidR="00A3783B" w:rsidRPr="00D67CB5" w:rsidRDefault="00A3783B" w:rsidP="00A3783B">
                  <w:r>
                    <w:t xml:space="preserve">This means that items </w:t>
                  </w:r>
                  <w:r w:rsidR="001E4CE1">
                    <w:t>at the receiving  location must have a Min</w:t>
                  </w:r>
                  <w:r w:rsidR="00D92647">
                    <w:t xml:space="preserve"> and Max set for any items that are eligible to be transferred and must have a R</w:t>
                  </w:r>
                  <w:r w:rsidR="004C712D">
                    <w:t>eplenish From location other than itself</w:t>
                  </w:r>
                  <w:r>
                    <w:t>.</w:t>
                  </w:r>
                  <w:r w:rsidR="004C712D">
                    <w:t xml:space="preserve"> Typically the supply location will also have Min and Max set as well.</w:t>
                  </w:r>
                </w:p>
              </w:txbxContent>
            </v:textbox>
          </v:shape>
        </w:pict>
      </w:r>
      <w:r w:rsidR="00A3783B">
        <w:rPr>
          <w:noProof/>
          <w:lang w:bidi="ar-SA"/>
        </w:rPr>
        <w:drawing>
          <wp:inline distT="0" distB="0" distL="0" distR="0">
            <wp:extent cx="1924050" cy="1657350"/>
            <wp:effectExtent l="19050" t="0" r="0"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924050" cy="1657350"/>
                    </a:xfrm>
                    <a:prstGeom prst="rect">
                      <a:avLst/>
                    </a:prstGeom>
                    <a:noFill/>
                    <a:ln w="9525">
                      <a:noFill/>
                      <a:miter lim="800000"/>
                      <a:headEnd/>
                      <a:tailEnd/>
                    </a:ln>
                  </pic:spPr>
                </pic:pic>
              </a:graphicData>
            </a:graphic>
          </wp:inline>
        </w:drawing>
      </w:r>
    </w:p>
    <w:p w:rsidR="00A3783B" w:rsidRDefault="008D3D4A">
      <w:r>
        <w:rPr>
          <w:noProof/>
          <w:lang w:bidi="ar-SA"/>
        </w:rPr>
        <w:pict>
          <v:shape id="_x0000_s1055" type="#_x0000_t202" style="position:absolute;margin-left:284.25pt;margin-top:51.15pt;width:340.5pt;height:131.25pt;z-index:251685888;mso-width-relative:margin;mso-height-relative:margin" fillcolor="#fde9d9 [665]" strokecolor="#f79646 [3209]" strokeweight="2.5pt">
            <v:shadow color="#868686"/>
            <v:textbox>
              <w:txbxContent>
                <w:p w:rsidR="0099141B" w:rsidRDefault="0099141B" w:rsidP="0099141B">
                  <w:r>
                    <w:t xml:space="preserve">In order to generate </w:t>
                  </w:r>
                  <w:r w:rsidR="00E06373">
                    <w:t>transfers from the Inventory Requirements Report check the Create Transfer Batch option. Set the receiving location as the Primary Warehouse and set the shipping (replenishment) location as the Transfer From Warehouse. You can choose to run the process for All Items or Items by Vendor assigned to items.</w:t>
                  </w:r>
                </w:p>
                <w:p w:rsidR="00CF6707" w:rsidRPr="00D67CB5" w:rsidRDefault="00CF6707" w:rsidP="0099141B">
                  <w:r>
                    <w:t>Click Continue to start the process.</w:t>
                  </w:r>
                </w:p>
              </w:txbxContent>
            </v:textbox>
          </v:shape>
        </w:pict>
      </w:r>
      <w:r w:rsidR="009C1F85">
        <w:rPr>
          <w:noProof/>
          <w:lang w:bidi="ar-SA"/>
        </w:rPr>
        <w:pict>
          <v:rect id="_x0000_s1060" style="position:absolute;margin-left:25.5pt;margin-top:137.3pt;width:87.75pt;height:26.35pt;z-index:251689984" filled="f" strokecolor="#f79646 [3209]" strokeweight="3pt"/>
        </w:pict>
      </w:r>
      <w:r w:rsidR="009C1F85">
        <w:rPr>
          <w:noProof/>
          <w:lang w:bidi="ar-SA"/>
        </w:rPr>
        <w:pict>
          <v:rect id="_x0000_s1059" style="position:absolute;margin-left:25.5pt;margin-top:196.65pt;width:111.75pt;height:36pt;z-index:251688960" filled="f" strokecolor="#f79646 [3209]" strokeweight="3pt"/>
        </w:pict>
      </w:r>
      <w:r w:rsidR="007D07A0">
        <w:rPr>
          <w:noProof/>
          <w:lang w:bidi="ar-SA"/>
        </w:rPr>
        <w:drawing>
          <wp:inline distT="0" distB="0" distL="0" distR="0">
            <wp:extent cx="2466975" cy="3566388"/>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467696" cy="3567431"/>
                    </a:xfrm>
                    <a:prstGeom prst="rect">
                      <a:avLst/>
                    </a:prstGeom>
                    <a:noFill/>
                    <a:ln w="9525">
                      <a:noFill/>
                      <a:miter lim="800000"/>
                      <a:headEnd/>
                      <a:tailEnd/>
                    </a:ln>
                  </pic:spPr>
                </pic:pic>
              </a:graphicData>
            </a:graphic>
          </wp:inline>
        </w:drawing>
      </w:r>
    </w:p>
    <w:p w:rsidR="00A3783B" w:rsidRDefault="00A3783B"/>
    <w:p w:rsidR="0059061C" w:rsidRDefault="009C1F85">
      <w:r>
        <w:rPr>
          <w:noProof/>
          <w:lang w:bidi="ar-SA"/>
        </w:rPr>
        <w:pict>
          <v:shape id="_x0000_s1056" type="#_x0000_t202" style="position:absolute;margin-left:377.25pt;margin-top:2.25pt;width:263.25pt;height:133.5pt;z-index:251686912;mso-width-relative:margin;mso-height-relative:margin" fillcolor="#fde9d9 [665]" strokecolor="#f79646 [3209]" strokeweight="2.5pt">
            <v:shadow color="#868686"/>
            <v:textbox>
              <w:txbxContent>
                <w:p w:rsidR="00CF6707" w:rsidRPr="00D67CB5" w:rsidRDefault="00CF6707" w:rsidP="00CF6707">
                  <w:r>
                    <w:t xml:space="preserve">The process generates a report of all items that have available quantities in the replenishment location </w:t>
                  </w:r>
                  <w:r w:rsidR="00E602F0">
                    <w:t>and have less than their max in the receiving location. It will suggest that the replenishment available be shipped to fill up to the receiver location’s Max. Note that other System Default setting</w:t>
                  </w:r>
                  <w:r w:rsidR="00694051">
                    <w:t>s</w:t>
                  </w:r>
                  <w:r w:rsidR="00E602F0">
                    <w:t xml:space="preserve"> may affect this logic. </w:t>
                  </w:r>
                </w:p>
              </w:txbxContent>
            </v:textbox>
          </v:shape>
        </w:pict>
      </w:r>
      <w:r w:rsidR="0059061C">
        <w:rPr>
          <w:noProof/>
          <w:lang w:bidi="ar-SA"/>
        </w:rPr>
        <w:drawing>
          <wp:inline distT="0" distB="0" distL="0" distR="0">
            <wp:extent cx="4295775" cy="1855517"/>
            <wp:effectExtent l="19050" t="19050" r="28575" b="11383"/>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00229" cy="1857441"/>
                    </a:xfrm>
                    <a:prstGeom prst="rect">
                      <a:avLst/>
                    </a:prstGeom>
                    <a:noFill/>
                    <a:ln w="12700">
                      <a:solidFill>
                        <a:schemeClr val="tx1"/>
                      </a:solidFill>
                      <a:miter lim="800000"/>
                      <a:headEnd/>
                      <a:tailEnd/>
                    </a:ln>
                  </pic:spPr>
                </pic:pic>
              </a:graphicData>
            </a:graphic>
          </wp:inline>
        </w:drawing>
      </w:r>
    </w:p>
    <w:p w:rsidR="009F47DA" w:rsidRDefault="009C1F85">
      <w:r>
        <w:rPr>
          <w:noProof/>
          <w:lang w:bidi="ar-SA"/>
        </w:rPr>
        <w:pict>
          <v:shape id="_x0000_s1057" type="#_x0000_t202" style="position:absolute;margin-left:390pt;margin-top:1.65pt;width:263.25pt;height:122.85pt;z-index:251687936;mso-width-relative:margin;mso-height-relative:margin" fillcolor="#fde9d9 [665]" strokecolor="#f79646 [3209]" strokeweight="2.5pt">
            <v:shadow color="#868686"/>
            <v:textbox>
              <w:txbxContent>
                <w:p w:rsidR="00FF0C47" w:rsidRPr="00D67CB5" w:rsidRDefault="00FF0C47" w:rsidP="00FF0C47">
                  <w:r>
                    <w:t xml:space="preserve">The process </w:t>
                  </w:r>
                  <w:r w:rsidR="0045121A">
                    <w:t xml:space="preserve">also </w:t>
                  </w:r>
                  <w:r>
                    <w:t xml:space="preserve">generates </w:t>
                  </w:r>
                  <w:r w:rsidR="0045121A">
                    <w:t>a transfer for the items on the report</w:t>
                  </w:r>
                  <w:r>
                    <w:t>.</w:t>
                  </w:r>
                  <w:r w:rsidR="0045121A">
                    <w:t xml:space="preserve"> The transfer is created with the auto-transfer step already completed, so the available, transfer out and in quantities are already updated. The transfer can be printed and posted or killed</w:t>
                  </w:r>
                  <w:r w:rsidR="00987BB0">
                    <w:t>, which will reverse the auto-transfer</w:t>
                  </w:r>
                  <w:r w:rsidR="0045121A">
                    <w:t>.</w:t>
                  </w:r>
                  <w:r>
                    <w:t xml:space="preserve"> </w:t>
                  </w:r>
                </w:p>
              </w:txbxContent>
            </v:textbox>
          </v:shape>
        </w:pict>
      </w:r>
      <w:r w:rsidR="009F47DA">
        <w:rPr>
          <w:noProof/>
          <w:lang w:bidi="ar-SA"/>
        </w:rPr>
        <w:drawing>
          <wp:inline distT="0" distB="0" distL="0" distR="0">
            <wp:extent cx="4295775" cy="2216662"/>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4296791" cy="2217186"/>
                    </a:xfrm>
                    <a:prstGeom prst="rect">
                      <a:avLst/>
                    </a:prstGeom>
                    <a:noFill/>
                    <a:ln w="9525">
                      <a:noFill/>
                      <a:miter lim="800000"/>
                      <a:headEnd/>
                      <a:tailEnd/>
                    </a:ln>
                  </pic:spPr>
                </pic:pic>
              </a:graphicData>
            </a:graphic>
          </wp:inline>
        </w:drawing>
      </w:r>
    </w:p>
    <w:sectPr w:rsidR="009F47DA" w:rsidSect="00D67CB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99" w:rsidRDefault="00051099" w:rsidP="002200D2">
      <w:pPr>
        <w:spacing w:before="0" w:after="0" w:line="240" w:lineRule="auto"/>
      </w:pPr>
      <w:r>
        <w:separator/>
      </w:r>
    </w:p>
  </w:endnote>
  <w:endnote w:type="continuationSeparator" w:id="0">
    <w:p w:rsidR="00051099" w:rsidRDefault="00051099" w:rsidP="002200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2200D2">
      <w:tc>
        <w:tcPr>
          <w:tcW w:w="918" w:type="dxa"/>
        </w:tcPr>
        <w:p w:rsidR="002200D2" w:rsidRPr="008D3D4A" w:rsidRDefault="009C1F85">
          <w:pPr>
            <w:pStyle w:val="Footer"/>
            <w:jc w:val="right"/>
            <w:rPr>
              <w:b/>
              <w:color w:val="F79646" w:themeColor="accent6"/>
              <w:sz w:val="32"/>
              <w:szCs w:val="32"/>
            </w:rPr>
          </w:pPr>
          <w:r w:rsidRPr="008D3D4A">
            <w:rPr>
              <w:color w:val="F79646" w:themeColor="accent6"/>
            </w:rPr>
            <w:fldChar w:fldCharType="begin"/>
          </w:r>
          <w:r w:rsidRPr="008D3D4A">
            <w:rPr>
              <w:color w:val="F79646" w:themeColor="accent6"/>
            </w:rPr>
            <w:instrText xml:space="preserve"> PAGE   \* MERGEFORMAT </w:instrText>
          </w:r>
          <w:r w:rsidRPr="008D3D4A">
            <w:rPr>
              <w:color w:val="F79646" w:themeColor="accent6"/>
            </w:rPr>
            <w:fldChar w:fldCharType="separate"/>
          </w:r>
          <w:r w:rsidR="008D3D4A" w:rsidRPr="008D3D4A">
            <w:rPr>
              <w:b/>
              <w:noProof/>
              <w:color w:val="F79646" w:themeColor="accent6"/>
              <w:sz w:val="32"/>
              <w:szCs w:val="32"/>
            </w:rPr>
            <w:t>10</w:t>
          </w:r>
          <w:r w:rsidRPr="008D3D4A">
            <w:rPr>
              <w:color w:val="F79646" w:themeColor="accent6"/>
            </w:rPr>
            <w:fldChar w:fldCharType="end"/>
          </w:r>
        </w:p>
      </w:tc>
      <w:tc>
        <w:tcPr>
          <w:tcW w:w="7938" w:type="dxa"/>
        </w:tcPr>
        <w:p w:rsidR="002200D2" w:rsidRDefault="008D3D4A">
          <w:pPr>
            <w:pStyle w:val="Footer"/>
          </w:pPr>
          <w:r w:rsidRPr="008D3D4A">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2200D2" w:rsidRDefault="00220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99" w:rsidRDefault="00051099" w:rsidP="002200D2">
      <w:pPr>
        <w:spacing w:before="0" w:after="0" w:line="240" w:lineRule="auto"/>
      </w:pPr>
      <w:r>
        <w:separator/>
      </w:r>
    </w:p>
  </w:footnote>
  <w:footnote w:type="continuationSeparator" w:id="0">
    <w:p w:rsidR="00051099" w:rsidRDefault="00051099" w:rsidP="002200D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1D48"/>
    <w:rsid w:val="00025C69"/>
    <w:rsid w:val="000278A9"/>
    <w:rsid w:val="00051099"/>
    <w:rsid w:val="00060A8C"/>
    <w:rsid w:val="000E1E94"/>
    <w:rsid w:val="000E7894"/>
    <w:rsid w:val="001940AA"/>
    <w:rsid w:val="001E4CE1"/>
    <w:rsid w:val="001E676D"/>
    <w:rsid w:val="002020F1"/>
    <w:rsid w:val="002053C8"/>
    <w:rsid w:val="002200D2"/>
    <w:rsid w:val="00254A08"/>
    <w:rsid w:val="00267584"/>
    <w:rsid w:val="002808DC"/>
    <w:rsid w:val="002924F9"/>
    <w:rsid w:val="00344509"/>
    <w:rsid w:val="00380771"/>
    <w:rsid w:val="00395C62"/>
    <w:rsid w:val="003A7638"/>
    <w:rsid w:val="003B00A8"/>
    <w:rsid w:val="00403AB1"/>
    <w:rsid w:val="0045121A"/>
    <w:rsid w:val="004A1592"/>
    <w:rsid w:val="004C712D"/>
    <w:rsid w:val="00555AA5"/>
    <w:rsid w:val="00562C53"/>
    <w:rsid w:val="00572EF5"/>
    <w:rsid w:val="0059061C"/>
    <w:rsid w:val="00591678"/>
    <w:rsid w:val="005A4F1B"/>
    <w:rsid w:val="005B60B8"/>
    <w:rsid w:val="005D4A31"/>
    <w:rsid w:val="005F017A"/>
    <w:rsid w:val="00670369"/>
    <w:rsid w:val="00672A05"/>
    <w:rsid w:val="00694051"/>
    <w:rsid w:val="006F2551"/>
    <w:rsid w:val="00703EB0"/>
    <w:rsid w:val="007517DF"/>
    <w:rsid w:val="007D07A0"/>
    <w:rsid w:val="007D628B"/>
    <w:rsid w:val="00871D48"/>
    <w:rsid w:val="00892AFE"/>
    <w:rsid w:val="008A62E8"/>
    <w:rsid w:val="008D3D4A"/>
    <w:rsid w:val="008F21BF"/>
    <w:rsid w:val="008F4A56"/>
    <w:rsid w:val="00913D2C"/>
    <w:rsid w:val="00987BB0"/>
    <w:rsid w:val="0099141B"/>
    <w:rsid w:val="009C1F85"/>
    <w:rsid w:val="009F3BDB"/>
    <w:rsid w:val="009F47DA"/>
    <w:rsid w:val="009F4D9A"/>
    <w:rsid w:val="00A00F3A"/>
    <w:rsid w:val="00A3573A"/>
    <w:rsid w:val="00A3783B"/>
    <w:rsid w:val="00A44984"/>
    <w:rsid w:val="00A65625"/>
    <w:rsid w:val="00A73E84"/>
    <w:rsid w:val="00AC51DA"/>
    <w:rsid w:val="00B2731B"/>
    <w:rsid w:val="00B64FC7"/>
    <w:rsid w:val="00BB3091"/>
    <w:rsid w:val="00BF60BB"/>
    <w:rsid w:val="00C169B9"/>
    <w:rsid w:val="00C2796A"/>
    <w:rsid w:val="00C520F8"/>
    <w:rsid w:val="00C85536"/>
    <w:rsid w:val="00CB0601"/>
    <w:rsid w:val="00CD4BA5"/>
    <w:rsid w:val="00CF6707"/>
    <w:rsid w:val="00D67CB5"/>
    <w:rsid w:val="00D92647"/>
    <w:rsid w:val="00DC22D3"/>
    <w:rsid w:val="00E04B05"/>
    <w:rsid w:val="00E06373"/>
    <w:rsid w:val="00E32330"/>
    <w:rsid w:val="00E60058"/>
    <w:rsid w:val="00E602F0"/>
    <w:rsid w:val="00E972DC"/>
    <w:rsid w:val="00EA0D8C"/>
    <w:rsid w:val="00EF6445"/>
    <w:rsid w:val="00F2015C"/>
    <w:rsid w:val="00F261EC"/>
    <w:rsid w:val="00F61498"/>
    <w:rsid w:val="00F8637F"/>
    <w:rsid w:val="00FE6817"/>
    <w:rsid w:val="00FF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4A"/>
    <w:pPr>
      <w:spacing w:before="200" w:after="200" w:line="276" w:lineRule="auto"/>
    </w:pPr>
    <w:rPr>
      <w:sz w:val="22"/>
      <w:szCs w:val="22"/>
      <w:lang w:bidi="en-US"/>
    </w:rPr>
  </w:style>
  <w:style w:type="paragraph" w:styleId="Heading1">
    <w:name w:val="heading 1"/>
    <w:basedOn w:val="Normal"/>
    <w:next w:val="Normal"/>
    <w:link w:val="Heading1Char"/>
    <w:uiPriority w:val="9"/>
    <w:qFormat/>
    <w:rsid w:val="008D3D4A"/>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8D3D4A"/>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8D3D4A"/>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8D3D4A"/>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8D3D4A"/>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8D3D4A"/>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8D3D4A"/>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8D3D4A"/>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8D3D4A"/>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D4A"/>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8D3D4A"/>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8D3D4A"/>
    <w:rPr>
      <w:caps/>
      <w:color w:val="E36C0A"/>
      <w:spacing w:val="15"/>
      <w:sz w:val="22"/>
      <w:szCs w:val="22"/>
      <w:lang w:bidi="en-US"/>
    </w:rPr>
  </w:style>
  <w:style w:type="character" w:customStyle="1" w:styleId="Heading4Char">
    <w:name w:val="Heading 4 Char"/>
    <w:basedOn w:val="DefaultParagraphFont"/>
    <w:link w:val="Heading4"/>
    <w:uiPriority w:val="9"/>
    <w:rsid w:val="008D3D4A"/>
    <w:rPr>
      <w:caps/>
      <w:color w:val="365F91"/>
      <w:spacing w:val="10"/>
    </w:rPr>
  </w:style>
  <w:style w:type="character" w:customStyle="1" w:styleId="Heading5Char">
    <w:name w:val="Heading 5 Char"/>
    <w:basedOn w:val="DefaultParagraphFont"/>
    <w:link w:val="Heading5"/>
    <w:uiPriority w:val="9"/>
    <w:semiHidden/>
    <w:rsid w:val="008D3D4A"/>
    <w:rPr>
      <w:caps/>
      <w:color w:val="365F91"/>
      <w:spacing w:val="10"/>
    </w:rPr>
  </w:style>
  <w:style w:type="character" w:customStyle="1" w:styleId="Heading6Char">
    <w:name w:val="Heading 6 Char"/>
    <w:basedOn w:val="DefaultParagraphFont"/>
    <w:link w:val="Heading6"/>
    <w:uiPriority w:val="9"/>
    <w:rsid w:val="008D3D4A"/>
    <w:rPr>
      <w:caps/>
      <w:color w:val="365F91"/>
      <w:spacing w:val="10"/>
    </w:rPr>
  </w:style>
  <w:style w:type="character" w:customStyle="1" w:styleId="Heading7Char">
    <w:name w:val="Heading 7 Char"/>
    <w:basedOn w:val="DefaultParagraphFont"/>
    <w:link w:val="Heading7"/>
    <w:uiPriority w:val="9"/>
    <w:semiHidden/>
    <w:rsid w:val="008D3D4A"/>
    <w:rPr>
      <w:caps/>
      <w:color w:val="365F91"/>
      <w:spacing w:val="10"/>
    </w:rPr>
  </w:style>
  <w:style w:type="character" w:customStyle="1" w:styleId="Heading8Char">
    <w:name w:val="Heading 8 Char"/>
    <w:basedOn w:val="DefaultParagraphFont"/>
    <w:link w:val="Heading8"/>
    <w:uiPriority w:val="9"/>
    <w:semiHidden/>
    <w:rsid w:val="008D3D4A"/>
    <w:rPr>
      <w:caps/>
      <w:spacing w:val="10"/>
      <w:sz w:val="18"/>
      <w:szCs w:val="18"/>
    </w:rPr>
  </w:style>
  <w:style w:type="character" w:customStyle="1" w:styleId="Heading9Char">
    <w:name w:val="Heading 9 Char"/>
    <w:basedOn w:val="DefaultParagraphFont"/>
    <w:link w:val="Heading9"/>
    <w:uiPriority w:val="9"/>
    <w:semiHidden/>
    <w:rsid w:val="008D3D4A"/>
    <w:rPr>
      <w:i/>
      <w:caps/>
      <w:spacing w:val="10"/>
      <w:sz w:val="18"/>
      <w:szCs w:val="18"/>
    </w:rPr>
  </w:style>
  <w:style w:type="paragraph" w:styleId="Caption">
    <w:name w:val="caption"/>
    <w:basedOn w:val="Normal"/>
    <w:next w:val="Normal"/>
    <w:uiPriority w:val="35"/>
    <w:semiHidden/>
    <w:unhideWhenUsed/>
    <w:qFormat/>
    <w:rsid w:val="008D3D4A"/>
    <w:rPr>
      <w:b/>
      <w:bCs/>
      <w:color w:val="365F91"/>
      <w:sz w:val="16"/>
      <w:szCs w:val="16"/>
    </w:rPr>
  </w:style>
  <w:style w:type="paragraph" w:styleId="Title">
    <w:name w:val="Title"/>
    <w:basedOn w:val="Normal"/>
    <w:next w:val="Normal"/>
    <w:link w:val="TitleChar"/>
    <w:uiPriority w:val="10"/>
    <w:qFormat/>
    <w:rsid w:val="008D3D4A"/>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8D3D4A"/>
    <w:rPr>
      <w:caps/>
      <w:color w:val="F79646" w:themeColor="accent6"/>
      <w:spacing w:val="10"/>
      <w:kern w:val="28"/>
      <w:sz w:val="52"/>
      <w:szCs w:val="52"/>
    </w:rPr>
  </w:style>
  <w:style w:type="paragraph" w:styleId="Subtitle">
    <w:name w:val="Subtitle"/>
    <w:basedOn w:val="Normal"/>
    <w:next w:val="Normal"/>
    <w:link w:val="SubtitleChar"/>
    <w:uiPriority w:val="11"/>
    <w:qFormat/>
    <w:rsid w:val="008D3D4A"/>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8D3D4A"/>
    <w:rPr>
      <w:caps/>
      <w:color w:val="595959"/>
      <w:spacing w:val="10"/>
      <w:sz w:val="24"/>
      <w:szCs w:val="24"/>
    </w:rPr>
  </w:style>
  <w:style w:type="character" w:styleId="Strong">
    <w:name w:val="Strong"/>
    <w:uiPriority w:val="22"/>
    <w:qFormat/>
    <w:rsid w:val="008D3D4A"/>
    <w:rPr>
      <w:b/>
      <w:bCs/>
    </w:rPr>
  </w:style>
  <w:style w:type="character" w:styleId="Emphasis">
    <w:name w:val="Emphasis"/>
    <w:uiPriority w:val="20"/>
    <w:qFormat/>
    <w:rsid w:val="008D3D4A"/>
    <w:rPr>
      <w:caps/>
      <w:color w:val="243F60"/>
      <w:spacing w:val="5"/>
    </w:rPr>
  </w:style>
  <w:style w:type="paragraph" w:styleId="NoSpacing">
    <w:name w:val="No Spacing"/>
    <w:basedOn w:val="Normal"/>
    <w:link w:val="NoSpacingChar"/>
    <w:uiPriority w:val="1"/>
    <w:qFormat/>
    <w:rsid w:val="008D3D4A"/>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8D3D4A"/>
    <w:rPr>
      <w:sz w:val="20"/>
      <w:szCs w:val="20"/>
    </w:rPr>
  </w:style>
  <w:style w:type="paragraph" w:styleId="ListParagraph">
    <w:name w:val="List Paragraph"/>
    <w:basedOn w:val="Normal"/>
    <w:uiPriority w:val="34"/>
    <w:qFormat/>
    <w:rsid w:val="008D3D4A"/>
    <w:pPr>
      <w:ind w:left="720"/>
      <w:contextualSpacing/>
    </w:pPr>
  </w:style>
  <w:style w:type="paragraph" w:styleId="Quote">
    <w:name w:val="Quote"/>
    <w:basedOn w:val="Normal"/>
    <w:next w:val="Normal"/>
    <w:link w:val="QuoteChar"/>
    <w:uiPriority w:val="29"/>
    <w:qFormat/>
    <w:rsid w:val="008D3D4A"/>
    <w:rPr>
      <w:i/>
      <w:iCs/>
      <w:sz w:val="20"/>
      <w:szCs w:val="20"/>
      <w:lang w:bidi="ar-SA"/>
    </w:rPr>
  </w:style>
  <w:style w:type="character" w:customStyle="1" w:styleId="QuoteChar">
    <w:name w:val="Quote Char"/>
    <w:basedOn w:val="DefaultParagraphFont"/>
    <w:link w:val="Quote"/>
    <w:uiPriority w:val="29"/>
    <w:rsid w:val="008D3D4A"/>
    <w:rPr>
      <w:i/>
      <w:iCs/>
      <w:sz w:val="20"/>
      <w:szCs w:val="20"/>
    </w:rPr>
  </w:style>
  <w:style w:type="paragraph" w:styleId="IntenseQuote">
    <w:name w:val="Intense Quote"/>
    <w:basedOn w:val="Normal"/>
    <w:next w:val="Normal"/>
    <w:link w:val="IntenseQuoteChar"/>
    <w:uiPriority w:val="30"/>
    <w:qFormat/>
    <w:rsid w:val="008D3D4A"/>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8D3D4A"/>
    <w:rPr>
      <w:i/>
      <w:iCs/>
      <w:color w:val="4F81BD"/>
      <w:sz w:val="20"/>
      <w:szCs w:val="20"/>
    </w:rPr>
  </w:style>
  <w:style w:type="character" w:styleId="SubtleEmphasis">
    <w:name w:val="Subtle Emphasis"/>
    <w:uiPriority w:val="19"/>
    <w:qFormat/>
    <w:rsid w:val="008D3D4A"/>
    <w:rPr>
      <w:i/>
      <w:iCs/>
      <w:color w:val="243F60"/>
    </w:rPr>
  </w:style>
  <w:style w:type="character" w:styleId="IntenseEmphasis">
    <w:name w:val="Intense Emphasis"/>
    <w:uiPriority w:val="21"/>
    <w:qFormat/>
    <w:rsid w:val="008D3D4A"/>
    <w:rPr>
      <w:b/>
      <w:bCs/>
      <w:caps/>
      <w:color w:val="243F60"/>
      <w:spacing w:val="10"/>
    </w:rPr>
  </w:style>
  <w:style w:type="character" w:styleId="SubtleReference">
    <w:name w:val="Subtle Reference"/>
    <w:uiPriority w:val="31"/>
    <w:qFormat/>
    <w:rsid w:val="008D3D4A"/>
    <w:rPr>
      <w:b/>
      <w:bCs/>
      <w:color w:val="4F81BD"/>
    </w:rPr>
  </w:style>
  <w:style w:type="character" w:styleId="IntenseReference">
    <w:name w:val="Intense Reference"/>
    <w:uiPriority w:val="32"/>
    <w:qFormat/>
    <w:rsid w:val="008D3D4A"/>
    <w:rPr>
      <w:b/>
      <w:bCs/>
      <w:i/>
      <w:iCs/>
      <w:caps/>
      <w:color w:val="4F81BD"/>
    </w:rPr>
  </w:style>
  <w:style w:type="character" w:styleId="BookTitle">
    <w:name w:val="Book Title"/>
    <w:uiPriority w:val="33"/>
    <w:qFormat/>
    <w:rsid w:val="008D3D4A"/>
    <w:rPr>
      <w:b/>
      <w:bCs/>
      <w:i/>
      <w:iCs/>
      <w:spacing w:val="9"/>
    </w:rPr>
  </w:style>
  <w:style w:type="paragraph" w:styleId="TOCHeading">
    <w:name w:val="TOC Heading"/>
    <w:basedOn w:val="Heading1"/>
    <w:next w:val="Normal"/>
    <w:uiPriority w:val="39"/>
    <w:semiHidden/>
    <w:unhideWhenUsed/>
    <w:qFormat/>
    <w:rsid w:val="008D3D4A"/>
    <w:pPr>
      <w:outlineLvl w:val="9"/>
    </w:pPr>
  </w:style>
  <w:style w:type="paragraph" w:styleId="BalloonText">
    <w:name w:val="Balloon Text"/>
    <w:basedOn w:val="Normal"/>
    <w:link w:val="BalloonTextChar"/>
    <w:uiPriority w:val="99"/>
    <w:semiHidden/>
    <w:unhideWhenUsed/>
    <w:rsid w:val="00871D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48"/>
    <w:rPr>
      <w:rFonts w:ascii="Tahoma" w:hAnsi="Tahoma" w:cs="Tahoma"/>
      <w:sz w:val="16"/>
      <w:szCs w:val="16"/>
    </w:rPr>
  </w:style>
  <w:style w:type="paragraph" w:styleId="Header">
    <w:name w:val="header"/>
    <w:basedOn w:val="Normal"/>
    <w:link w:val="HeaderChar"/>
    <w:uiPriority w:val="99"/>
    <w:semiHidden/>
    <w:unhideWhenUsed/>
    <w:rsid w:val="002200D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200D2"/>
    <w:rPr>
      <w:sz w:val="20"/>
      <w:szCs w:val="20"/>
    </w:rPr>
  </w:style>
  <w:style w:type="paragraph" w:styleId="Footer">
    <w:name w:val="footer"/>
    <w:basedOn w:val="Normal"/>
    <w:link w:val="FooterChar"/>
    <w:uiPriority w:val="99"/>
    <w:unhideWhenUsed/>
    <w:rsid w:val="002200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0D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10</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12</cp:revision>
  <dcterms:created xsi:type="dcterms:W3CDTF">2011-03-03T00:55:00Z</dcterms:created>
  <dcterms:modified xsi:type="dcterms:W3CDTF">2018-12-28T19:44:00Z</dcterms:modified>
</cp:coreProperties>
</file>